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9CFA" w14:textId="1545DF32" w:rsidR="004E124C" w:rsidRPr="00EE373F" w:rsidRDefault="00226C75" w:rsidP="00EE373F">
      <w:pPr>
        <w:spacing w:after="60"/>
        <w:rPr>
          <w:rFonts w:ascii="Fira Sans Light" w:hAnsi="Fira Sans Light"/>
          <w:color w:val="FFFFFF" w:themeColor="background1"/>
          <w:sz w:val="44"/>
          <w:szCs w:val="44"/>
        </w:rPr>
      </w:pPr>
      <w:r w:rsidRPr="00EE373F">
        <w:rPr>
          <w:rFonts w:ascii="Fira Sans" w:hAnsi="Fira Sans"/>
          <w:b/>
          <w:bCs/>
          <w:noProof/>
          <w:color w:val="FFFFFF" w:themeColor="background1"/>
          <w:sz w:val="44"/>
          <w:szCs w:val="44"/>
        </w:rPr>
        <w:drawing>
          <wp:anchor distT="0" distB="0" distL="114300" distR="114300" simplePos="0" relativeHeight="251663360" behindDoc="0" locked="0" layoutInCell="1" allowOverlap="1" wp14:anchorId="2AADCC87" wp14:editId="7C9F2ACD">
            <wp:simplePos x="0" y="0"/>
            <wp:positionH relativeFrom="column">
              <wp:posOffset>4280536</wp:posOffset>
            </wp:positionH>
            <wp:positionV relativeFrom="paragraph">
              <wp:posOffset>-463976</wp:posOffset>
            </wp:positionV>
            <wp:extent cx="1811128" cy="499607"/>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ACC_log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67" cy="509521"/>
                    </a:xfrm>
                    <a:prstGeom prst="rect">
                      <a:avLst/>
                    </a:prstGeom>
                  </pic:spPr>
                </pic:pic>
              </a:graphicData>
            </a:graphic>
            <wp14:sizeRelH relativeFrom="page">
              <wp14:pctWidth>0</wp14:pctWidth>
            </wp14:sizeRelH>
            <wp14:sizeRelV relativeFrom="page">
              <wp14:pctHeight>0</wp14:pctHeight>
            </wp14:sizeRelV>
          </wp:anchor>
        </w:drawing>
      </w:r>
      <w:r w:rsidR="00AD5D39" w:rsidRPr="00EE373F">
        <w:rPr>
          <w:rFonts w:ascii="Fira Sans" w:hAnsi="Fira Sans"/>
          <w:b/>
          <w:bCs/>
          <w:noProof/>
          <w:color w:val="FFFFFF" w:themeColor="background1"/>
          <w:sz w:val="44"/>
          <w:szCs w:val="44"/>
        </w:rPr>
        <w:drawing>
          <wp:anchor distT="0" distB="0" distL="114300" distR="114300" simplePos="0" relativeHeight="251661312" behindDoc="1" locked="0" layoutInCell="1" allowOverlap="1" wp14:anchorId="762F0E26" wp14:editId="3490474C">
            <wp:simplePos x="0" y="0"/>
            <wp:positionH relativeFrom="column">
              <wp:posOffset>-979055</wp:posOffset>
            </wp:positionH>
            <wp:positionV relativeFrom="paragraph">
              <wp:posOffset>-2290041</wp:posOffset>
            </wp:positionV>
            <wp:extent cx="7883102" cy="443625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ACC_Word_Heade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3102" cy="4436258"/>
                    </a:xfrm>
                    <a:prstGeom prst="rect">
                      <a:avLst/>
                    </a:prstGeom>
                  </pic:spPr>
                </pic:pic>
              </a:graphicData>
            </a:graphic>
            <wp14:sizeRelH relativeFrom="page">
              <wp14:pctWidth>0</wp14:pctWidth>
            </wp14:sizeRelH>
            <wp14:sizeRelV relativeFrom="page">
              <wp14:pctHeight>0</wp14:pctHeight>
            </wp14:sizeRelV>
          </wp:anchor>
        </w:drawing>
      </w:r>
      <w:r w:rsidR="004E124C" w:rsidRPr="00EE373F">
        <w:rPr>
          <w:rFonts w:ascii="Fira Sans Light" w:hAnsi="Fira Sans Light"/>
          <w:color w:val="FFFFFF" w:themeColor="background1"/>
          <w:sz w:val="44"/>
          <w:szCs w:val="44"/>
        </w:rPr>
        <w:t xml:space="preserve">Coalition to Improve </w:t>
      </w:r>
      <w:r w:rsidR="004E124C" w:rsidRPr="00EE373F">
        <w:rPr>
          <w:rFonts w:ascii="Fira Sans Light" w:hAnsi="Fira Sans Light"/>
          <w:color w:val="FFFFFF" w:themeColor="background1"/>
          <w:sz w:val="44"/>
          <w:szCs w:val="44"/>
        </w:rPr>
        <w:br/>
        <w:t>Access to Cancer Care (CIACC)</w:t>
      </w:r>
    </w:p>
    <w:p w14:paraId="6866AE04" w14:textId="5D208195" w:rsidR="004E124C" w:rsidRPr="003557CE" w:rsidRDefault="002F5B1C" w:rsidP="004E124C">
      <w:pPr>
        <w:rPr>
          <w:rFonts w:ascii="Fira Sans" w:hAnsi="Fira Sans"/>
          <w:b/>
          <w:bCs/>
          <w:color w:val="71E2E2"/>
          <w:spacing w:val="10"/>
        </w:rPr>
      </w:pPr>
      <w:r>
        <w:rPr>
          <w:rFonts w:ascii="Fira Sans" w:hAnsi="Fira Sans"/>
          <w:b/>
          <w:bCs/>
          <w:color w:val="71E2E2"/>
          <w:spacing w:val="10"/>
        </w:rPr>
        <w:t>Fact Sheet</w:t>
      </w:r>
    </w:p>
    <w:p w14:paraId="462ECAEF" w14:textId="246BA436" w:rsidR="004E124C" w:rsidRDefault="004E124C" w:rsidP="00CD3E2E">
      <w:pPr>
        <w:rPr>
          <w:rFonts w:ascii="Fira Sans" w:hAnsi="Fira Sans"/>
          <w:b/>
          <w:bCs/>
          <w:color w:val="71E2E2"/>
          <w:sz w:val="22"/>
          <w:szCs w:val="22"/>
        </w:rPr>
      </w:pPr>
    </w:p>
    <w:p w14:paraId="60AB1884" w14:textId="77777777" w:rsidR="00AD5D39" w:rsidRPr="00CD3E2E" w:rsidRDefault="00AD5D39" w:rsidP="00CD3E2E">
      <w:pPr>
        <w:rPr>
          <w:rFonts w:ascii="Fira Sans" w:hAnsi="Fira Sans"/>
          <w:b/>
          <w:bCs/>
          <w:color w:val="71E2E2"/>
          <w:sz w:val="22"/>
          <w:szCs w:val="22"/>
        </w:rPr>
      </w:pPr>
    </w:p>
    <w:p w14:paraId="0F0E0DE4" w14:textId="7BB26C39" w:rsidR="004E124C" w:rsidRPr="00CD3E2E" w:rsidRDefault="004E124C" w:rsidP="00CD3E2E">
      <w:pPr>
        <w:rPr>
          <w:rFonts w:ascii="Fira Sans Medium" w:hAnsi="Fira Sans Medium"/>
          <w:sz w:val="22"/>
          <w:szCs w:val="22"/>
          <w:u w:val="single"/>
        </w:rPr>
      </w:pPr>
    </w:p>
    <w:p w14:paraId="1108DB73" w14:textId="755B3C83" w:rsidR="00CD3E2E" w:rsidRPr="00CD3E2E" w:rsidRDefault="00CD3E2E" w:rsidP="00CD3E2E">
      <w:pPr>
        <w:rPr>
          <w:rFonts w:ascii="Fira Sans Medium" w:hAnsi="Fira Sans Medium"/>
          <w:sz w:val="22"/>
          <w:szCs w:val="22"/>
          <w:u w:val="single"/>
        </w:rPr>
      </w:pPr>
    </w:p>
    <w:p w14:paraId="66C2CAD6" w14:textId="77777777" w:rsidR="009742BF" w:rsidRDefault="009742BF" w:rsidP="00AD5D39">
      <w:pPr>
        <w:spacing w:after="200" w:line="276" w:lineRule="auto"/>
        <w:rPr>
          <w:rFonts w:ascii="Fira Sans ExtraBold" w:hAnsi="Fira Sans ExtraBold"/>
          <w:b/>
          <w:bCs/>
          <w:caps/>
          <w:color w:val="6DD8DA"/>
          <w:spacing w:val="10"/>
          <w:sz w:val="18"/>
          <w:szCs w:val="18"/>
        </w:rPr>
      </w:pPr>
    </w:p>
    <w:p w14:paraId="33163F92" w14:textId="4E3AF7EA" w:rsidR="00EB511E" w:rsidRPr="009742BF" w:rsidRDefault="009742BF" w:rsidP="00AD4E6B">
      <w:pPr>
        <w:spacing w:after="200" w:line="276" w:lineRule="auto"/>
        <w:rPr>
          <w:rFonts w:ascii="Fira Sans Light" w:hAnsi="Fira Sans Light"/>
          <w:color w:val="484F55"/>
          <w:sz w:val="19"/>
          <w:szCs w:val="19"/>
        </w:rPr>
      </w:pPr>
      <w:r w:rsidRPr="009742BF">
        <w:rPr>
          <w:rFonts w:ascii="Fira Sans Light" w:hAnsi="Fira Sans Light"/>
          <w:color w:val="484F55"/>
          <w:sz w:val="19"/>
          <w:szCs w:val="19"/>
        </w:rPr>
        <w:t xml:space="preserve">The way we treat cancer is changing rapidly. The way we cover cancer treatment is not. The Coalition for Improved Access to Cancer Care wants to change that by restoring the doctor-patient relationship and giving patients access to the best treatments. Currently, patients are limited by affordability due to the way in which new, innovative oral chemotherapy drugs are placed on a prescription benefit with a high level of cost-sharing from the patient. </w:t>
      </w:r>
    </w:p>
    <w:p w14:paraId="54EDF46F" w14:textId="77777777" w:rsidR="00AD5D39" w:rsidRDefault="00AD5D39" w:rsidP="00C534E6">
      <w:pPr>
        <w:rPr>
          <w:rFonts w:ascii="Fira Sans ExtraBold" w:hAnsi="Fira Sans ExtraBold"/>
          <w:b/>
          <w:bCs/>
          <w:caps/>
          <w:color w:val="71E2E2"/>
          <w:spacing w:val="10"/>
          <w:sz w:val="18"/>
          <w:szCs w:val="18"/>
        </w:rPr>
      </w:pPr>
    </w:p>
    <w:p w14:paraId="4CE3717E" w14:textId="1A6A303D" w:rsidR="00C534E6" w:rsidRPr="0063334A" w:rsidRDefault="009742BF" w:rsidP="00261C0D">
      <w:pPr>
        <w:rPr>
          <w:rFonts w:ascii="Fira Sans ExtraBold" w:hAnsi="Fira Sans ExtraBold"/>
          <w:b/>
          <w:bCs/>
          <w:caps/>
          <w:color w:val="71E2E2"/>
          <w:spacing w:val="10"/>
          <w:sz w:val="20"/>
          <w:szCs w:val="18"/>
        </w:rPr>
      </w:pPr>
      <w:r w:rsidRPr="0063334A">
        <w:rPr>
          <w:rFonts w:ascii="Fira Sans ExtraBold" w:hAnsi="Fira Sans ExtraBold"/>
          <w:b/>
          <w:bCs/>
          <w:caps/>
          <w:color w:val="71E2E2"/>
          <w:spacing w:val="10"/>
          <w:sz w:val="20"/>
          <w:szCs w:val="18"/>
        </w:rPr>
        <w:t>ORAL TREATMENTS ARE THE FUTURE</w:t>
      </w:r>
      <w:r w:rsidR="00C534E6" w:rsidRPr="0063334A">
        <w:rPr>
          <w:rFonts w:ascii="Fira Sans ExtraBold" w:hAnsi="Fira Sans ExtraBold"/>
          <w:b/>
          <w:bCs/>
          <w:caps/>
          <w:color w:val="71E2E2"/>
          <w:spacing w:val="10"/>
          <w:sz w:val="20"/>
          <w:szCs w:val="18"/>
        </w:rPr>
        <w:t xml:space="preserve"> </w:t>
      </w:r>
    </w:p>
    <w:p w14:paraId="616074DD" w14:textId="77777777" w:rsidR="009742BF" w:rsidRDefault="009742BF" w:rsidP="009742BF">
      <w:pPr>
        <w:spacing w:after="100"/>
        <w:rPr>
          <w:rFonts w:ascii="Fira Sans Light" w:hAnsi="Fira Sans Light"/>
          <w:color w:val="484F55"/>
          <w:sz w:val="30"/>
          <w:szCs w:val="30"/>
        </w:rPr>
      </w:pPr>
    </w:p>
    <w:p w14:paraId="2F4FD1BD" w14:textId="084C8618" w:rsidR="009742BF" w:rsidRPr="00EE63CE" w:rsidRDefault="009742BF" w:rsidP="0086691D">
      <w:pPr>
        <w:numPr>
          <w:ilvl w:val="0"/>
          <w:numId w:val="2"/>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Oral cancer treatments account for </w:t>
      </w:r>
      <w:r w:rsidRPr="00EE63CE">
        <w:rPr>
          <w:rFonts w:ascii="Fira Sans Medium" w:hAnsi="Fira Sans Medium"/>
          <w:color w:val="484F55"/>
          <w:sz w:val="19"/>
          <w:szCs w:val="19"/>
        </w:rPr>
        <w:t>roughly 25% of the cancer drugs in development</w:t>
      </w:r>
      <w:r w:rsidRPr="00EE63CE">
        <w:rPr>
          <w:rFonts w:ascii="Fira Sans Light" w:hAnsi="Fira Sans Light"/>
          <w:color w:val="484F55"/>
          <w:sz w:val="19"/>
          <w:szCs w:val="19"/>
        </w:rPr>
        <w:t xml:space="preserve">, according to a </w:t>
      </w:r>
      <w:bookmarkStart w:id="0" w:name="_Hlk507498188"/>
      <w:r w:rsidR="00EA7220" w:rsidRPr="00EA7220">
        <w:fldChar w:fldCharType="begin"/>
      </w:r>
      <w:r w:rsidR="00AB7FAF" w:rsidRPr="00EA7220">
        <w:instrText>HYPERLINK "http://ww.ajmc.com/journals/supplement/2016/improving-patient-access-to-critical-therapies-in-the-age-of-cost-sharing/in-office-dispensing-of-oral-oncolytics-a-continuity-of-care-and-cost-mitigation-model-for-cancer-patients"</w:instrText>
      </w:r>
      <w:r w:rsidR="00EA7220" w:rsidRPr="00EA7220">
        <w:fldChar w:fldCharType="separate"/>
      </w:r>
      <w:r w:rsidRPr="00EA7220">
        <w:rPr>
          <w:rStyle w:val="Hyperlink"/>
          <w:rFonts w:ascii="Fira Sans Light" w:hAnsi="Fira Sans Light"/>
          <w:color w:val="484F55"/>
          <w:sz w:val="19"/>
          <w:szCs w:val="19"/>
          <w:u w:val="none"/>
        </w:rPr>
        <w:t>study</w:t>
      </w:r>
      <w:r w:rsidR="00EA7220" w:rsidRPr="00EA7220">
        <w:rPr>
          <w:rStyle w:val="Hyperlink"/>
          <w:rFonts w:ascii="Fira Sans Light" w:hAnsi="Fira Sans Light"/>
          <w:color w:val="484F55"/>
          <w:sz w:val="19"/>
          <w:szCs w:val="19"/>
          <w:u w:val="none"/>
        </w:rPr>
        <w:fldChar w:fldCharType="end"/>
      </w:r>
      <w:bookmarkEnd w:id="0"/>
      <w:r w:rsidRPr="00EE63CE">
        <w:rPr>
          <w:rFonts w:ascii="Fira Sans Light" w:hAnsi="Fira Sans Light"/>
          <w:color w:val="484F55"/>
          <w:sz w:val="19"/>
          <w:szCs w:val="19"/>
        </w:rPr>
        <w:t xml:space="preserve"> by the National Community Oncology Dispensing Association.</w:t>
      </w:r>
      <w:r w:rsidR="00F92C14">
        <w:rPr>
          <w:rStyle w:val="FootnoteReference"/>
          <w:rFonts w:ascii="Fira Sans Light" w:hAnsi="Fira Sans Light"/>
          <w:color w:val="484F55"/>
          <w:sz w:val="19"/>
          <w:szCs w:val="19"/>
        </w:rPr>
        <w:footnoteReference w:id="1"/>
      </w:r>
    </w:p>
    <w:p w14:paraId="15420FF2" w14:textId="0462A012" w:rsidR="009742BF" w:rsidRPr="00EE63CE" w:rsidRDefault="009742BF" w:rsidP="0086691D">
      <w:pPr>
        <w:numPr>
          <w:ilvl w:val="0"/>
          <w:numId w:val="2"/>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Oral cancer medications are often </w:t>
      </w:r>
      <w:r w:rsidRPr="00EE63CE">
        <w:rPr>
          <w:rFonts w:ascii="Fira Sans Medium" w:hAnsi="Fira Sans Medium"/>
          <w:color w:val="484F55"/>
          <w:sz w:val="19"/>
          <w:szCs w:val="19"/>
        </w:rPr>
        <w:t>more convenient</w:t>
      </w:r>
      <w:r w:rsidRPr="00EE63CE">
        <w:rPr>
          <w:rFonts w:ascii="Fira Sans Light" w:hAnsi="Fira Sans Light"/>
          <w:color w:val="484F55"/>
          <w:sz w:val="19"/>
          <w:szCs w:val="19"/>
        </w:rPr>
        <w:t xml:space="preserve"> for patients to take</w:t>
      </w:r>
      <w:r w:rsidR="0090363C">
        <w:rPr>
          <w:rFonts w:ascii="Fira Sans Light" w:hAnsi="Fira Sans Light"/>
          <w:color w:val="484F55"/>
          <w:sz w:val="19"/>
          <w:szCs w:val="19"/>
        </w:rPr>
        <w:t>.</w:t>
      </w:r>
      <w:r w:rsidR="00896935">
        <w:rPr>
          <w:rStyle w:val="FootnoteReference"/>
          <w:rFonts w:ascii="Fira Sans Light" w:hAnsi="Fira Sans Light"/>
          <w:color w:val="484F55"/>
          <w:sz w:val="19"/>
          <w:szCs w:val="19"/>
        </w:rPr>
        <w:footnoteReference w:id="2"/>
      </w:r>
    </w:p>
    <w:p w14:paraId="226A7302" w14:textId="3CD02EF0" w:rsidR="009742BF" w:rsidRPr="00EE63CE" w:rsidRDefault="009742BF" w:rsidP="0086691D">
      <w:pPr>
        <w:numPr>
          <w:ilvl w:val="0"/>
          <w:numId w:val="2"/>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In many cases, </w:t>
      </w:r>
      <w:r w:rsidRPr="00EE63CE">
        <w:rPr>
          <w:rFonts w:ascii="Fira Sans Medium" w:hAnsi="Fira Sans Medium"/>
          <w:color w:val="484F55"/>
          <w:sz w:val="19"/>
          <w:szCs w:val="19"/>
        </w:rPr>
        <w:t>there is no alternative to oral medication.</w:t>
      </w:r>
      <w:r w:rsidR="00896935">
        <w:rPr>
          <w:rStyle w:val="FootnoteReference"/>
          <w:rFonts w:ascii="Fira Sans Medium" w:hAnsi="Fira Sans Medium"/>
          <w:color w:val="484F55"/>
          <w:sz w:val="19"/>
          <w:szCs w:val="19"/>
        </w:rPr>
        <w:footnoteReference w:id="3"/>
      </w:r>
    </w:p>
    <w:p w14:paraId="2E0129AF" w14:textId="3E1F8227" w:rsidR="004B3855" w:rsidRPr="00A310D5" w:rsidRDefault="004B3855" w:rsidP="00C534E6">
      <w:pPr>
        <w:spacing w:after="100" w:line="276" w:lineRule="auto"/>
        <w:rPr>
          <w:rFonts w:ascii="Fira Sans Light" w:hAnsi="Fira Sans Light"/>
          <w:color w:val="484F55"/>
          <w:sz w:val="19"/>
          <w:szCs w:val="19"/>
        </w:rPr>
      </w:pPr>
    </w:p>
    <w:p w14:paraId="66402785" w14:textId="77777777" w:rsidR="00EE63CE" w:rsidRPr="0063334A" w:rsidRDefault="00EE63CE" w:rsidP="00EE63CE">
      <w:pPr>
        <w:spacing w:after="100" w:line="276" w:lineRule="auto"/>
        <w:rPr>
          <w:rFonts w:ascii="Fira Sans ExtraBold" w:hAnsi="Fira Sans ExtraBold"/>
          <w:b/>
          <w:bCs/>
          <w:caps/>
          <w:color w:val="71E2E2"/>
          <w:spacing w:val="10"/>
          <w:sz w:val="20"/>
          <w:szCs w:val="18"/>
        </w:rPr>
      </w:pPr>
      <w:r w:rsidRPr="0063334A">
        <w:rPr>
          <w:rFonts w:ascii="Fira Sans ExtraBold" w:hAnsi="Fira Sans ExtraBold"/>
          <w:b/>
          <w:bCs/>
          <w:caps/>
          <w:color w:val="71E2E2"/>
          <w:spacing w:val="10"/>
          <w:sz w:val="20"/>
          <w:szCs w:val="18"/>
        </w:rPr>
        <w:t>Yet, Access Barriers Exist for Patients</w:t>
      </w:r>
      <w:bookmarkStart w:id="1" w:name="_GoBack"/>
      <w:bookmarkEnd w:id="1"/>
    </w:p>
    <w:p w14:paraId="4638FAA6" w14:textId="77777777" w:rsidR="00EE63CE" w:rsidRPr="00EE63CE" w:rsidRDefault="00EE63CE" w:rsidP="00EE63CE">
      <w:pPr>
        <w:spacing w:after="100" w:line="276" w:lineRule="auto"/>
        <w:rPr>
          <w:rFonts w:ascii="Fira Sans Light" w:hAnsi="Fira Sans Light"/>
          <w:color w:val="484F55"/>
          <w:sz w:val="19"/>
          <w:szCs w:val="19"/>
        </w:rPr>
      </w:pPr>
    </w:p>
    <w:p w14:paraId="4A695C59" w14:textId="61CE654B" w:rsidR="00EE63CE" w:rsidRPr="00EE63CE" w:rsidRDefault="00EE63CE" w:rsidP="00097B24">
      <w:pPr>
        <w:numPr>
          <w:ilvl w:val="0"/>
          <w:numId w:val="3"/>
        </w:numPr>
        <w:spacing w:after="100" w:line="276" w:lineRule="auto"/>
        <w:rPr>
          <w:rFonts w:ascii="Fira Sans Light" w:hAnsi="Fira Sans Light"/>
          <w:color w:val="484F55"/>
          <w:sz w:val="19"/>
          <w:szCs w:val="19"/>
        </w:rPr>
      </w:pPr>
      <w:r w:rsidRPr="00EE63CE">
        <w:rPr>
          <w:rFonts w:ascii="Fira Sans Medium" w:hAnsi="Fira Sans Medium"/>
          <w:color w:val="484F55"/>
          <w:sz w:val="19"/>
          <w:szCs w:val="19"/>
        </w:rPr>
        <w:t>Higher out-of-pocket costs increase the likelihood that patients don’t fill prescriptions</w:t>
      </w:r>
      <w:r w:rsidRPr="00EE63CE">
        <w:rPr>
          <w:rFonts w:ascii="Fira Sans Light" w:hAnsi="Fira Sans Light"/>
          <w:color w:val="484F55"/>
          <w:sz w:val="19"/>
          <w:szCs w:val="19"/>
        </w:rPr>
        <w:t>, according t</w:t>
      </w:r>
      <w:r w:rsidR="005504A1">
        <w:rPr>
          <w:rFonts w:ascii="Fira Sans Light" w:hAnsi="Fira Sans Light"/>
          <w:color w:val="484F55"/>
          <w:sz w:val="19"/>
          <w:szCs w:val="19"/>
        </w:rPr>
        <w:t xml:space="preserve">o a study by </w:t>
      </w:r>
      <w:proofErr w:type="spellStart"/>
      <w:r w:rsidR="005504A1">
        <w:rPr>
          <w:rFonts w:ascii="Fira Sans Light" w:hAnsi="Fira Sans Light"/>
          <w:color w:val="484F55"/>
          <w:sz w:val="19"/>
          <w:szCs w:val="19"/>
        </w:rPr>
        <w:t>Avalere</w:t>
      </w:r>
      <w:proofErr w:type="spellEnd"/>
      <w:r w:rsidR="005504A1">
        <w:rPr>
          <w:rFonts w:ascii="Fira Sans Light" w:hAnsi="Fira Sans Light"/>
          <w:color w:val="484F55"/>
          <w:sz w:val="19"/>
          <w:szCs w:val="19"/>
        </w:rPr>
        <w:t xml:space="preserve"> Health and </w:t>
      </w:r>
      <w:r w:rsidRPr="00EE63CE">
        <w:rPr>
          <w:rFonts w:ascii="Fira Sans Light" w:hAnsi="Fira Sans Light"/>
          <w:color w:val="484F55"/>
          <w:sz w:val="19"/>
          <w:szCs w:val="19"/>
        </w:rPr>
        <w:t>The West Clinic.</w:t>
      </w:r>
      <w:r w:rsidR="00896935">
        <w:rPr>
          <w:rStyle w:val="FootnoteReference"/>
          <w:rFonts w:ascii="Fira Sans Light" w:hAnsi="Fira Sans Light"/>
          <w:color w:val="484F55"/>
          <w:sz w:val="19"/>
          <w:szCs w:val="19"/>
        </w:rPr>
        <w:footnoteReference w:id="4"/>
      </w:r>
    </w:p>
    <w:p w14:paraId="2E7C0B41" w14:textId="6CFACE18" w:rsidR="00EE63CE" w:rsidRPr="00EE63CE" w:rsidRDefault="00EE63CE" w:rsidP="00097B24">
      <w:pPr>
        <w:numPr>
          <w:ilvl w:val="0"/>
          <w:numId w:val="3"/>
        </w:numPr>
        <w:spacing w:after="100" w:line="276" w:lineRule="auto"/>
        <w:rPr>
          <w:rFonts w:ascii="Fira Sans Medium" w:hAnsi="Fira Sans Medium"/>
          <w:color w:val="484F55"/>
          <w:sz w:val="19"/>
          <w:szCs w:val="19"/>
        </w:rPr>
      </w:pPr>
      <w:r w:rsidRPr="00EE63CE">
        <w:rPr>
          <w:rFonts w:ascii="Fira Sans Medium" w:hAnsi="Fira Sans Medium"/>
          <w:color w:val="484F55"/>
          <w:sz w:val="19"/>
          <w:szCs w:val="19"/>
        </w:rPr>
        <w:t xml:space="preserve">Many health plans require patients to pay higher coinsurance </w:t>
      </w:r>
      <w:r w:rsidR="00A256A8">
        <w:rPr>
          <w:rFonts w:ascii="Fira Sans Medium" w:hAnsi="Fira Sans Medium"/>
          <w:color w:val="484F55"/>
          <w:sz w:val="19"/>
          <w:szCs w:val="19"/>
        </w:rPr>
        <w:t xml:space="preserve">or copays </w:t>
      </w:r>
      <w:r w:rsidRPr="00EE63CE">
        <w:rPr>
          <w:rFonts w:ascii="Fira Sans Medium" w:hAnsi="Fira Sans Medium"/>
          <w:color w:val="484F55"/>
          <w:sz w:val="19"/>
          <w:szCs w:val="19"/>
        </w:rPr>
        <w:t>for oral cancer medicines.</w:t>
      </w:r>
    </w:p>
    <w:p w14:paraId="14D6569A" w14:textId="014A1A96" w:rsidR="00EE63CE" w:rsidRPr="00EE63CE" w:rsidRDefault="00EE63CE" w:rsidP="00097B24">
      <w:pPr>
        <w:numPr>
          <w:ilvl w:val="0"/>
          <w:numId w:val="3"/>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Some </w:t>
      </w:r>
      <w:r w:rsidRPr="00EE63CE">
        <w:rPr>
          <w:rFonts w:ascii="Fira Sans Medium" w:hAnsi="Fira Sans Medium"/>
          <w:color w:val="484F55"/>
          <w:sz w:val="19"/>
          <w:szCs w:val="19"/>
        </w:rPr>
        <w:t>84% of oncologists said high out-of-pocket costs influenced what medicines they prescribe</w:t>
      </w:r>
      <w:r w:rsidRPr="00EE63CE">
        <w:rPr>
          <w:rFonts w:ascii="Fira Sans Light" w:hAnsi="Fira Sans Light"/>
          <w:color w:val="484F55"/>
          <w:sz w:val="19"/>
          <w:szCs w:val="19"/>
        </w:rPr>
        <w:t>, according to a national survey conducted by researchers at Tufts University, Baylor University and the University of Michigan.</w:t>
      </w:r>
      <w:r w:rsidR="00896935">
        <w:rPr>
          <w:rFonts w:ascii="Fira Sans Light" w:hAnsi="Fira Sans Light"/>
          <w:color w:val="484F55"/>
          <w:sz w:val="19"/>
          <w:szCs w:val="19"/>
          <w:vertAlign w:val="superscript"/>
        </w:rPr>
        <w:t>2</w:t>
      </w:r>
    </w:p>
    <w:p w14:paraId="1901EE84" w14:textId="576C47F4" w:rsidR="0063334A" w:rsidRPr="00896935" w:rsidRDefault="00EE63CE" w:rsidP="00EE63CE">
      <w:pPr>
        <w:numPr>
          <w:ilvl w:val="0"/>
          <w:numId w:val="3"/>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In the same survey, 64% of oncologists said</w:t>
      </w:r>
      <w:r w:rsidRPr="00EE63CE">
        <w:rPr>
          <w:rFonts w:ascii="Fira Sans Light" w:hAnsi="Fira Sans Light"/>
          <w:b/>
          <w:color w:val="484F55"/>
          <w:sz w:val="19"/>
          <w:szCs w:val="19"/>
        </w:rPr>
        <w:t xml:space="preserve"> </w:t>
      </w:r>
      <w:r w:rsidRPr="00EE63CE">
        <w:rPr>
          <w:rFonts w:ascii="Fira Sans Medium" w:hAnsi="Fira Sans Medium"/>
          <w:color w:val="484F55"/>
          <w:sz w:val="19"/>
          <w:szCs w:val="19"/>
        </w:rPr>
        <w:t>reimbursement rules for oral chemotherapy limited their ability to offer those therapies.</w:t>
      </w:r>
      <w:r w:rsidR="00F92C14">
        <w:rPr>
          <w:rStyle w:val="FootnoteReference"/>
          <w:rFonts w:ascii="Fira Sans Medium" w:hAnsi="Fira Sans Medium"/>
          <w:color w:val="484F55"/>
          <w:sz w:val="19"/>
          <w:szCs w:val="19"/>
        </w:rPr>
        <w:t>2</w:t>
      </w:r>
    </w:p>
    <w:p w14:paraId="02E0AED4" w14:textId="77777777" w:rsidR="00EE63CE" w:rsidRPr="00EE63CE" w:rsidRDefault="00EE63CE" w:rsidP="00EE63CE">
      <w:pPr>
        <w:spacing w:after="100" w:line="276" w:lineRule="auto"/>
        <w:rPr>
          <w:rFonts w:ascii="Fira Sans ExtraBold" w:hAnsi="Fira Sans ExtraBold"/>
          <w:b/>
          <w:bCs/>
          <w:caps/>
          <w:color w:val="71E2E2"/>
          <w:spacing w:val="10"/>
          <w:sz w:val="18"/>
          <w:szCs w:val="18"/>
        </w:rPr>
      </w:pPr>
      <w:r w:rsidRPr="0063334A">
        <w:rPr>
          <w:rFonts w:ascii="Fira Sans ExtraBold" w:hAnsi="Fira Sans ExtraBold"/>
          <w:b/>
          <w:bCs/>
          <w:caps/>
          <w:color w:val="71E2E2"/>
          <w:spacing w:val="10"/>
          <w:sz w:val="20"/>
          <w:szCs w:val="18"/>
        </w:rPr>
        <w:lastRenderedPageBreak/>
        <w:t xml:space="preserve">Parity Legislation Works </w:t>
      </w:r>
    </w:p>
    <w:p w14:paraId="009FA2BB" w14:textId="77777777" w:rsidR="00EE63CE" w:rsidRPr="00EE63CE" w:rsidRDefault="00EE63CE" w:rsidP="00EE63CE">
      <w:pPr>
        <w:spacing w:after="100" w:line="276" w:lineRule="auto"/>
        <w:rPr>
          <w:rFonts w:ascii="Fira Sans Light" w:hAnsi="Fira Sans Light"/>
          <w:color w:val="484F55"/>
          <w:sz w:val="19"/>
          <w:szCs w:val="19"/>
        </w:rPr>
      </w:pPr>
    </w:p>
    <w:p w14:paraId="3BDAB9F8" w14:textId="4C0B31E8" w:rsidR="00EE63CE" w:rsidRPr="00EE63CE" w:rsidRDefault="00EE63CE" w:rsidP="00097B24">
      <w:pPr>
        <w:numPr>
          <w:ilvl w:val="0"/>
          <w:numId w:val="4"/>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Since 2007, </w:t>
      </w:r>
      <w:r w:rsidRPr="003523BA">
        <w:rPr>
          <w:rFonts w:ascii="Fira Sans Medium" w:hAnsi="Fira Sans Medium"/>
          <w:color w:val="484F55"/>
          <w:sz w:val="19"/>
          <w:szCs w:val="19"/>
        </w:rPr>
        <w:t>43 states and the District of Columbia have enacted laws</w:t>
      </w:r>
      <w:r w:rsidRPr="00EE63CE">
        <w:rPr>
          <w:rFonts w:ascii="Fira Sans Light" w:hAnsi="Fira Sans Light"/>
          <w:color w:val="484F55"/>
          <w:sz w:val="19"/>
          <w:szCs w:val="19"/>
        </w:rPr>
        <w:t xml:space="preserve"> preventing insurance companies from applying different co-pays to oral cancer medicine.</w:t>
      </w:r>
    </w:p>
    <w:p w14:paraId="65D5E84F" w14:textId="62F1009B" w:rsidR="00EE63CE" w:rsidRPr="00EE63CE" w:rsidRDefault="00EE63CE" w:rsidP="00097B24">
      <w:pPr>
        <w:numPr>
          <w:ilvl w:val="0"/>
          <w:numId w:val="4"/>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The </w:t>
      </w:r>
      <w:r w:rsidR="00D65187" w:rsidRPr="00D65187">
        <w:rPr>
          <w:rFonts w:ascii="Fira Sans Medium" w:hAnsi="Fira Sans Medium"/>
          <w:color w:val="484F55"/>
          <w:sz w:val="19"/>
          <w:szCs w:val="19"/>
        </w:rPr>
        <w:t xml:space="preserve">proportion of prescriptions filled at $0 </w:t>
      </w:r>
      <w:r w:rsidRPr="00D65187">
        <w:rPr>
          <w:rFonts w:ascii="Fira Sans Medium" w:hAnsi="Fira Sans Medium"/>
          <w:color w:val="484F55"/>
          <w:sz w:val="19"/>
          <w:szCs w:val="19"/>
        </w:rPr>
        <w:t>for oral cancer medicine</w:t>
      </w:r>
      <w:r w:rsidR="00D65187">
        <w:rPr>
          <w:rFonts w:ascii="Fira Sans Medium" w:hAnsi="Fira Sans Medium"/>
          <w:color w:val="484F55"/>
          <w:sz w:val="19"/>
          <w:szCs w:val="19"/>
        </w:rPr>
        <w:t>s</w:t>
      </w:r>
      <w:r w:rsidRPr="00D65187">
        <w:rPr>
          <w:rFonts w:ascii="Fira Sans Medium" w:hAnsi="Fira Sans Medium"/>
          <w:color w:val="484F55"/>
          <w:sz w:val="19"/>
          <w:szCs w:val="19"/>
        </w:rPr>
        <w:t xml:space="preserve"> jumped to 53% from 15%</w:t>
      </w:r>
      <w:r w:rsidRPr="00EE63CE">
        <w:rPr>
          <w:rFonts w:ascii="Fira Sans Light" w:hAnsi="Fira Sans Light"/>
          <w:color w:val="484F55"/>
          <w:sz w:val="19"/>
          <w:szCs w:val="19"/>
        </w:rPr>
        <w:t xml:space="preserve"> in states that enacted parity legislation, according to a </w:t>
      </w:r>
      <w:hyperlink r:id="rId13" w:history="1">
        <w:r w:rsidRPr="00EA7220">
          <w:rPr>
            <w:rFonts w:ascii="Fira Sans Light" w:hAnsi="Fira Sans Light"/>
            <w:color w:val="484F55"/>
            <w:sz w:val="19"/>
            <w:szCs w:val="19"/>
          </w:rPr>
          <w:t>study</w:t>
        </w:r>
      </w:hyperlink>
      <w:r w:rsidRPr="00EE63CE">
        <w:rPr>
          <w:rFonts w:ascii="Fira Sans Light" w:hAnsi="Fira Sans Light"/>
          <w:color w:val="484F55"/>
          <w:sz w:val="19"/>
          <w:szCs w:val="19"/>
        </w:rPr>
        <w:t xml:space="preserve"> in the Journal of the American Medical Association (JAMA).</w:t>
      </w:r>
      <w:r w:rsidR="00896935">
        <w:rPr>
          <w:rStyle w:val="FootnoteReference"/>
          <w:rFonts w:ascii="Fira Sans Light" w:hAnsi="Fira Sans Light"/>
          <w:color w:val="484F55"/>
          <w:sz w:val="19"/>
          <w:szCs w:val="19"/>
        </w:rPr>
        <w:footnoteReference w:id="5"/>
      </w:r>
    </w:p>
    <w:p w14:paraId="18EA1B7C" w14:textId="29EA2131" w:rsidR="00EE63CE" w:rsidRPr="00EE63CE" w:rsidRDefault="00EE63CE" w:rsidP="00097B24">
      <w:pPr>
        <w:numPr>
          <w:ilvl w:val="0"/>
          <w:numId w:val="4"/>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 xml:space="preserve">There is </w:t>
      </w:r>
      <w:r w:rsidRPr="003523BA">
        <w:rPr>
          <w:rFonts w:ascii="Fira Sans Medium" w:hAnsi="Fira Sans Medium"/>
          <w:color w:val="484F55"/>
          <w:sz w:val="19"/>
          <w:szCs w:val="19"/>
        </w:rPr>
        <w:t>no evidence that insurers incurred additional costs</w:t>
      </w:r>
      <w:r w:rsidRPr="00EE63CE">
        <w:rPr>
          <w:rFonts w:ascii="Fira Sans Light" w:hAnsi="Fira Sans Light"/>
          <w:color w:val="484F55"/>
          <w:sz w:val="19"/>
          <w:szCs w:val="19"/>
        </w:rPr>
        <w:t xml:space="preserve"> as the result of this in</w:t>
      </w:r>
      <w:r w:rsidR="00D65187">
        <w:rPr>
          <w:rFonts w:ascii="Fira Sans Light" w:hAnsi="Fira Sans Light"/>
          <w:color w:val="484F55"/>
          <w:sz w:val="19"/>
          <w:szCs w:val="19"/>
        </w:rPr>
        <w:t>creased access to cancer care</w:t>
      </w:r>
      <w:r w:rsidRPr="00EE63CE">
        <w:rPr>
          <w:rFonts w:ascii="Fira Sans Light" w:hAnsi="Fira Sans Light"/>
          <w:color w:val="484F55"/>
          <w:sz w:val="19"/>
          <w:szCs w:val="19"/>
        </w:rPr>
        <w:t xml:space="preserve">, according to the </w:t>
      </w:r>
      <w:r w:rsidR="00A256A8">
        <w:rPr>
          <w:rFonts w:ascii="Fira Sans Light" w:hAnsi="Fira Sans Light"/>
          <w:color w:val="484F55"/>
          <w:sz w:val="19"/>
          <w:szCs w:val="19"/>
        </w:rPr>
        <w:t xml:space="preserve">same </w:t>
      </w:r>
      <w:r w:rsidR="0090363C">
        <w:rPr>
          <w:rFonts w:ascii="Fira Sans Light" w:hAnsi="Fira Sans Light"/>
          <w:color w:val="484F55"/>
          <w:sz w:val="19"/>
          <w:szCs w:val="19"/>
        </w:rPr>
        <w:t>study.</w:t>
      </w:r>
      <w:r w:rsidR="00896935">
        <w:rPr>
          <w:rFonts w:ascii="Fira Sans Light" w:hAnsi="Fira Sans Light"/>
          <w:color w:val="484F55"/>
          <w:sz w:val="19"/>
          <w:szCs w:val="19"/>
          <w:vertAlign w:val="superscript"/>
        </w:rPr>
        <w:t>5</w:t>
      </w:r>
    </w:p>
    <w:p w14:paraId="682D2947" w14:textId="2032FCDC" w:rsidR="00EE63CE" w:rsidRPr="00EE63CE" w:rsidRDefault="00EE63CE" w:rsidP="00097B24">
      <w:pPr>
        <w:numPr>
          <w:ilvl w:val="0"/>
          <w:numId w:val="4"/>
        </w:numPr>
        <w:spacing w:after="100" w:line="276" w:lineRule="auto"/>
        <w:rPr>
          <w:rFonts w:ascii="Fira Sans Light" w:hAnsi="Fira Sans Light"/>
          <w:color w:val="484F55"/>
          <w:sz w:val="19"/>
          <w:szCs w:val="19"/>
        </w:rPr>
      </w:pPr>
      <w:r w:rsidRPr="00EE63CE">
        <w:rPr>
          <w:rFonts w:ascii="Fira Sans Light" w:hAnsi="Fira Sans Light"/>
          <w:color w:val="484F55"/>
          <w:sz w:val="19"/>
          <w:szCs w:val="19"/>
        </w:rPr>
        <w:t>The Cancer Drug Parity Act would</w:t>
      </w:r>
      <w:r w:rsidRPr="00EE63CE">
        <w:rPr>
          <w:rFonts w:ascii="Fira Sans Light" w:hAnsi="Fira Sans Light"/>
          <w:b/>
          <w:color w:val="484F55"/>
          <w:sz w:val="19"/>
          <w:szCs w:val="19"/>
        </w:rPr>
        <w:t xml:space="preserve"> </w:t>
      </w:r>
      <w:r w:rsidRPr="003523BA">
        <w:rPr>
          <w:rFonts w:ascii="Fira Sans Medium" w:hAnsi="Fira Sans Medium"/>
          <w:color w:val="484F55"/>
          <w:sz w:val="19"/>
          <w:szCs w:val="19"/>
        </w:rPr>
        <w:t>protect the approximately 100 million patients not covered by these state laws</w:t>
      </w:r>
      <w:r w:rsidRPr="00EE63CE">
        <w:rPr>
          <w:rFonts w:ascii="Fira Sans Light" w:hAnsi="Fira Sans Light"/>
          <w:color w:val="484F55"/>
          <w:sz w:val="19"/>
          <w:szCs w:val="19"/>
        </w:rPr>
        <w:t>.</w:t>
      </w:r>
    </w:p>
    <w:p w14:paraId="279582B4" w14:textId="77777777" w:rsidR="00EE63CE" w:rsidRPr="00EE63CE" w:rsidRDefault="00EE63CE" w:rsidP="00EE63CE">
      <w:pPr>
        <w:spacing w:after="100" w:line="276" w:lineRule="auto"/>
        <w:rPr>
          <w:rFonts w:ascii="Fira Sans Medium" w:hAnsi="Fira Sans Medium"/>
          <w:color w:val="484F55"/>
          <w:sz w:val="19"/>
          <w:szCs w:val="19"/>
        </w:rPr>
      </w:pPr>
    </w:p>
    <w:p w14:paraId="2DC3FB2C" w14:textId="75488199" w:rsidR="00EE63CE" w:rsidRPr="00EE63CE" w:rsidRDefault="00EE63CE" w:rsidP="00EE63CE">
      <w:pPr>
        <w:spacing w:after="100" w:line="276" w:lineRule="auto"/>
        <w:rPr>
          <w:rFonts w:ascii="Fira Sans Light" w:hAnsi="Fira Sans Light"/>
          <w:color w:val="484F55"/>
          <w:sz w:val="16"/>
          <w:szCs w:val="19"/>
        </w:rPr>
      </w:pPr>
      <w:r w:rsidRPr="00EE63CE">
        <w:rPr>
          <w:rFonts w:ascii="Fira Sans Medium" w:hAnsi="Fira Sans Medium"/>
          <w:color w:val="484F55"/>
          <w:sz w:val="16"/>
          <w:szCs w:val="19"/>
        </w:rPr>
        <w:t>The Coalition for Improved Access to Cancer Care</w:t>
      </w:r>
      <w:r w:rsidRPr="00EE63CE">
        <w:rPr>
          <w:rFonts w:ascii="Fira Sans Light" w:hAnsi="Fira Sans Light"/>
          <w:color w:val="484F55"/>
          <w:sz w:val="16"/>
          <w:szCs w:val="19"/>
        </w:rPr>
        <w:t xml:space="preserve"> is a patient-focused organization representing patients, health-care professionals, care centers and </w:t>
      </w:r>
      <w:r w:rsidR="00A256A8">
        <w:rPr>
          <w:rFonts w:ascii="Fira Sans Light" w:hAnsi="Fira Sans Light"/>
          <w:color w:val="484F55"/>
          <w:sz w:val="16"/>
          <w:szCs w:val="19"/>
        </w:rPr>
        <w:t xml:space="preserve">life sciences </w:t>
      </w:r>
      <w:r w:rsidRPr="00EE63CE">
        <w:rPr>
          <w:rFonts w:ascii="Fira Sans Light" w:hAnsi="Fira Sans Light"/>
          <w:color w:val="484F55"/>
          <w:sz w:val="16"/>
          <w:szCs w:val="19"/>
        </w:rPr>
        <w:t>industry committed to ensuring cancer patients have equal access to all approved anticancer regimens, including (but not limited to) oral and intravenous drugs, injections, etc.</w:t>
      </w:r>
    </w:p>
    <w:p w14:paraId="06A32D17" w14:textId="6F59B3EE" w:rsidR="00942830" w:rsidRDefault="00942830" w:rsidP="003543BE">
      <w:pPr>
        <w:spacing w:after="100" w:line="276" w:lineRule="auto"/>
        <w:rPr>
          <w:rFonts w:ascii="Fira Sans Light" w:hAnsi="Fira Sans Light"/>
          <w:sz w:val="19"/>
          <w:szCs w:val="19"/>
        </w:rPr>
      </w:pPr>
    </w:p>
    <w:p w14:paraId="5F589E55" w14:textId="65BEF9DE" w:rsidR="00AB7FAF" w:rsidRDefault="00AB7FAF" w:rsidP="003543BE">
      <w:pPr>
        <w:spacing w:after="100" w:line="276" w:lineRule="auto"/>
        <w:rPr>
          <w:rFonts w:ascii="Fira Sans Light" w:hAnsi="Fira Sans Light"/>
          <w:sz w:val="19"/>
          <w:szCs w:val="19"/>
        </w:rPr>
      </w:pPr>
    </w:p>
    <w:p w14:paraId="6A84B56D" w14:textId="00311980" w:rsidR="00AB7FAF" w:rsidRDefault="00AB7FAF" w:rsidP="003543BE">
      <w:pPr>
        <w:spacing w:after="100" w:line="276" w:lineRule="auto"/>
        <w:rPr>
          <w:rFonts w:ascii="Fira Sans Light" w:hAnsi="Fira Sans Light"/>
          <w:sz w:val="19"/>
          <w:szCs w:val="19"/>
        </w:rPr>
      </w:pPr>
    </w:p>
    <w:p w14:paraId="707EDE9D" w14:textId="12D82CD7" w:rsidR="00AB7FAF" w:rsidRDefault="00AB7FAF" w:rsidP="003543BE">
      <w:pPr>
        <w:spacing w:after="100" w:line="276" w:lineRule="auto"/>
        <w:rPr>
          <w:rFonts w:ascii="Fira Sans Light" w:hAnsi="Fira Sans Light"/>
          <w:sz w:val="19"/>
          <w:szCs w:val="19"/>
        </w:rPr>
      </w:pPr>
    </w:p>
    <w:p w14:paraId="0A3D00B0" w14:textId="77777777" w:rsidR="00F92C14" w:rsidRDefault="00F92C14" w:rsidP="003543BE">
      <w:pPr>
        <w:spacing w:after="100" w:line="276" w:lineRule="auto"/>
        <w:rPr>
          <w:rFonts w:ascii="Fira Sans Light" w:hAnsi="Fira Sans Light"/>
          <w:sz w:val="19"/>
          <w:szCs w:val="19"/>
        </w:rPr>
      </w:pPr>
    </w:p>
    <w:p w14:paraId="581A397D" w14:textId="011C618E" w:rsidR="00AB7FAF" w:rsidRDefault="00AB7FAF" w:rsidP="003543BE">
      <w:pPr>
        <w:spacing w:after="100" w:line="276" w:lineRule="auto"/>
        <w:rPr>
          <w:rFonts w:ascii="Fira Sans Light" w:hAnsi="Fira Sans Light"/>
          <w:sz w:val="19"/>
          <w:szCs w:val="19"/>
        </w:rPr>
      </w:pPr>
    </w:p>
    <w:p w14:paraId="38D742B4" w14:textId="3526BD1F" w:rsidR="00AB7FAF" w:rsidRDefault="00AB7FAF" w:rsidP="003543BE">
      <w:pPr>
        <w:spacing w:after="100" w:line="276" w:lineRule="auto"/>
        <w:rPr>
          <w:rFonts w:ascii="Fira Sans Light" w:hAnsi="Fira Sans Light"/>
          <w:sz w:val="19"/>
          <w:szCs w:val="19"/>
        </w:rPr>
      </w:pPr>
    </w:p>
    <w:p w14:paraId="2A322960" w14:textId="616A1CEB" w:rsidR="00AB7FAF" w:rsidRDefault="00AB7FAF" w:rsidP="003543BE">
      <w:pPr>
        <w:spacing w:after="100" w:line="276" w:lineRule="auto"/>
        <w:rPr>
          <w:rFonts w:ascii="Fira Sans Light" w:hAnsi="Fira Sans Light"/>
          <w:sz w:val="19"/>
          <w:szCs w:val="19"/>
        </w:rPr>
      </w:pPr>
    </w:p>
    <w:p w14:paraId="3EE4436E" w14:textId="55FBA78E" w:rsidR="00AB7FAF" w:rsidRDefault="00AB7FAF" w:rsidP="003543BE">
      <w:pPr>
        <w:spacing w:after="100" w:line="276" w:lineRule="auto"/>
        <w:rPr>
          <w:rFonts w:ascii="Fira Sans Light" w:hAnsi="Fira Sans Light"/>
          <w:sz w:val="19"/>
          <w:szCs w:val="19"/>
        </w:rPr>
      </w:pPr>
    </w:p>
    <w:p w14:paraId="3257CF33" w14:textId="6DB49E7B" w:rsidR="00AB7FAF" w:rsidRDefault="00AB7FAF" w:rsidP="003543BE">
      <w:pPr>
        <w:spacing w:after="100" w:line="276" w:lineRule="auto"/>
        <w:rPr>
          <w:rFonts w:ascii="Fira Sans Light" w:hAnsi="Fira Sans Light"/>
          <w:sz w:val="19"/>
          <w:szCs w:val="19"/>
        </w:rPr>
      </w:pPr>
    </w:p>
    <w:p w14:paraId="4530D569" w14:textId="7D77F961" w:rsidR="00AB7FAF" w:rsidRDefault="00AB7FAF" w:rsidP="003543BE">
      <w:pPr>
        <w:spacing w:after="100" w:line="276" w:lineRule="auto"/>
        <w:rPr>
          <w:rFonts w:ascii="Fira Sans Light" w:hAnsi="Fira Sans Light"/>
          <w:sz w:val="19"/>
          <w:szCs w:val="19"/>
        </w:rPr>
      </w:pPr>
    </w:p>
    <w:p w14:paraId="7EA6EF14" w14:textId="652EC162" w:rsidR="00AB7FAF" w:rsidRDefault="00AB7FAF" w:rsidP="003543BE">
      <w:pPr>
        <w:spacing w:after="100" w:line="276" w:lineRule="auto"/>
        <w:rPr>
          <w:rFonts w:ascii="Fira Sans Light" w:hAnsi="Fira Sans Light"/>
          <w:sz w:val="19"/>
          <w:szCs w:val="19"/>
        </w:rPr>
      </w:pPr>
    </w:p>
    <w:p w14:paraId="4DBDB4D4" w14:textId="01CEF5E5" w:rsidR="00AB7FAF" w:rsidRDefault="00AB7FAF" w:rsidP="003543BE">
      <w:pPr>
        <w:spacing w:after="100" w:line="276" w:lineRule="auto"/>
        <w:rPr>
          <w:rFonts w:ascii="Fira Sans Light" w:hAnsi="Fira Sans Light"/>
          <w:sz w:val="19"/>
          <w:szCs w:val="19"/>
        </w:rPr>
      </w:pPr>
    </w:p>
    <w:p w14:paraId="5B937D34" w14:textId="47BD0EF6" w:rsidR="00AB7FAF" w:rsidRDefault="00F92C14" w:rsidP="003543BE">
      <w:pPr>
        <w:spacing w:after="100" w:line="276" w:lineRule="auto"/>
        <w:rPr>
          <w:rFonts w:ascii="Fira Sans Light" w:hAnsi="Fira Sans Light"/>
          <w:sz w:val="19"/>
          <w:szCs w:val="19"/>
        </w:rPr>
      </w:pPr>
      <w:r w:rsidRPr="00A310D5">
        <w:rPr>
          <w:noProof/>
          <w:color w:val="484F55"/>
        </w:rPr>
        <w:drawing>
          <wp:anchor distT="0" distB="0" distL="114300" distR="114300" simplePos="0" relativeHeight="251665408" behindDoc="1" locked="0" layoutInCell="1" allowOverlap="1" wp14:anchorId="73F4EF4E" wp14:editId="034D52C7">
            <wp:simplePos x="0" y="0"/>
            <wp:positionH relativeFrom="column">
              <wp:posOffset>4981575</wp:posOffset>
            </wp:positionH>
            <wp:positionV relativeFrom="paragraph">
              <wp:posOffset>2447290</wp:posOffset>
            </wp:positionV>
            <wp:extent cx="1599680" cy="439692"/>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ACC_logo_Colo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80" cy="439692"/>
                    </a:xfrm>
                    <a:prstGeom prst="rect">
                      <a:avLst/>
                    </a:prstGeom>
                  </pic:spPr>
                </pic:pic>
              </a:graphicData>
            </a:graphic>
            <wp14:sizeRelH relativeFrom="page">
              <wp14:pctWidth>0</wp14:pctWidth>
            </wp14:sizeRelH>
            <wp14:sizeRelV relativeFrom="page">
              <wp14:pctHeight>0</wp14:pctHeight>
            </wp14:sizeRelV>
          </wp:anchor>
        </w:drawing>
      </w:r>
    </w:p>
    <w:sectPr w:rsidR="00AB7FAF" w:rsidSect="00EE373F">
      <w:headerReference w:type="even" r:id="rId15"/>
      <w:headerReference w:type="default" r:id="rId16"/>
      <w:headerReference w:type="first" r:id="rId17"/>
      <w:pgSz w:w="12240" w:h="15840"/>
      <w:pgMar w:top="1080" w:right="1440" w:bottom="1152"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0D799" w14:textId="77777777" w:rsidR="00F5281F" w:rsidRDefault="00F5281F" w:rsidP="00B73821">
      <w:r>
        <w:separator/>
      </w:r>
    </w:p>
  </w:endnote>
  <w:endnote w:type="continuationSeparator" w:id="0">
    <w:p w14:paraId="306484DA" w14:textId="77777777" w:rsidR="00F5281F" w:rsidRDefault="00F5281F" w:rsidP="00B7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503050000020004"/>
    <w:charset w:val="00"/>
    <w:family w:val="swiss"/>
    <w:pitch w:val="variable"/>
    <w:sig w:usb0="600002FF" w:usb1="00000001" w:usb2="00000000" w:usb3="00000000" w:csb0="0000019F" w:csb1="00000000"/>
  </w:font>
  <w:font w:name="Fira Sans Medium">
    <w:panose1 w:val="020B0603050000020004"/>
    <w:charset w:val="00"/>
    <w:family w:val="swiss"/>
    <w:pitch w:val="variable"/>
    <w:sig w:usb0="600002FF" w:usb1="00000001" w:usb2="00000000" w:usb3="00000000" w:csb0="0000019F" w:csb1="00000000"/>
  </w:font>
  <w:font w:name="Fira Sans ExtraBold">
    <w:panose1 w:val="020B09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D8AE1" w14:textId="77777777" w:rsidR="00F5281F" w:rsidRDefault="00F5281F" w:rsidP="00B73821">
      <w:r>
        <w:separator/>
      </w:r>
    </w:p>
  </w:footnote>
  <w:footnote w:type="continuationSeparator" w:id="0">
    <w:p w14:paraId="5C5CFC2A" w14:textId="77777777" w:rsidR="00F5281F" w:rsidRDefault="00F5281F" w:rsidP="00B73821">
      <w:r>
        <w:continuationSeparator/>
      </w:r>
    </w:p>
  </w:footnote>
  <w:footnote w:id="1">
    <w:p w14:paraId="7AC1062E" w14:textId="1E570EC3" w:rsidR="00F92C14" w:rsidRPr="00896935" w:rsidRDefault="00F92C14">
      <w:pPr>
        <w:pStyle w:val="FootnoteText"/>
        <w:rPr>
          <w:rFonts w:ascii="Fira Sans" w:hAnsi="Fira Sans"/>
          <w:color w:val="676CF9"/>
          <w:sz w:val="16"/>
          <w:szCs w:val="16"/>
        </w:rPr>
      </w:pPr>
      <w:r w:rsidRPr="00F92C14">
        <w:rPr>
          <w:rStyle w:val="FootnoteReference"/>
          <w:rFonts w:ascii="Fira Sans" w:hAnsi="Fira Sans"/>
          <w:color w:val="676CF9"/>
          <w:sz w:val="16"/>
          <w:szCs w:val="16"/>
        </w:rPr>
        <w:footnoteRef/>
      </w:r>
      <w:r w:rsidRPr="00F92C14">
        <w:rPr>
          <w:rFonts w:ascii="Fira Sans" w:hAnsi="Fira Sans"/>
          <w:color w:val="676CF9"/>
          <w:sz w:val="16"/>
          <w:szCs w:val="16"/>
        </w:rPr>
        <w:t xml:space="preserve"> Egerton NJ. In-Office Dispensing of Oral </w:t>
      </w:r>
      <w:proofErr w:type="spellStart"/>
      <w:r w:rsidRPr="00F92C14">
        <w:rPr>
          <w:rFonts w:ascii="Fira Sans" w:hAnsi="Fira Sans"/>
          <w:color w:val="676CF9"/>
          <w:sz w:val="16"/>
          <w:szCs w:val="16"/>
        </w:rPr>
        <w:t>Oncolytics</w:t>
      </w:r>
      <w:proofErr w:type="spellEnd"/>
      <w:r w:rsidRPr="00F92C14">
        <w:rPr>
          <w:rFonts w:ascii="Fira Sans" w:hAnsi="Fira Sans"/>
          <w:color w:val="676CF9"/>
          <w:sz w:val="16"/>
          <w:szCs w:val="16"/>
        </w:rPr>
        <w:t>: A Continuity of Care and Cost Mitigation Model for Cancer Patients. AJMC. http://www.ajmc.com/journals/supplement/2016/improving-patient-access-to-critical-therapies-in-the-age-of-cost-sharing/in-office-dispensing-of-oral-oncolytics-a-continuity-of-care-and-cost-mitigation-model-for-cancer-patients. Accessed March 2, 2018</w:t>
      </w:r>
    </w:p>
  </w:footnote>
  <w:footnote w:id="2">
    <w:p w14:paraId="56A37E5F" w14:textId="4258BD6F" w:rsidR="00896935" w:rsidRPr="00896935" w:rsidRDefault="00896935">
      <w:pPr>
        <w:pStyle w:val="FootnoteText"/>
        <w:rPr>
          <w:rFonts w:ascii="Fira Sans" w:hAnsi="Fira Sans"/>
          <w:color w:val="676CF9"/>
          <w:sz w:val="16"/>
          <w:szCs w:val="16"/>
        </w:rPr>
      </w:pPr>
      <w:r w:rsidRPr="00896935">
        <w:rPr>
          <w:rStyle w:val="FootnoteReference"/>
          <w:color w:val="676CF9"/>
        </w:rPr>
        <w:footnoteRef/>
      </w:r>
      <w:r w:rsidRPr="00896935">
        <w:rPr>
          <w:color w:val="676CF9"/>
        </w:rPr>
        <w:t xml:space="preserve"> </w:t>
      </w:r>
      <w:proofErr w:type="spellStart"/>
      <w:r w:rsidRPr="00896935">
        <w:rPr>
          <w:rFonts w:ascii="Fira Sans" w:hAnsi="Fira Sans"/>
          <w:color w:val="676CF9"/>
          <w:sz w:val="16"/>
          <w:szCs w:val="16"/>
        </w:rPr>
        <w:t>Henrikson</w:t>
      </w:r>
      <w:proofErr w:type="spellEnd"/>
      <w:r w:rsidRPr="00896935">
        <w:rPr>
          <w:rFonts w:ascii="Fira Sans" w:hAnsi="Fira Sans"/>
          <w:color w:val="676CF9"/>
          <w:sz w:val="16"/>
          <w:szCs w:val="16"/>
        </w:rPr>
        <w:t xml:space="preserve">, N. B., </w:t>
      </w:r>
      <w:proofErr w:type="spellStart"/>
      <w:r w:rsidRPr="00896935">
        <w:rPr>
          <w:rFonts w:ascii="Fira Sans" w:hAnsi="Fira Sans"/>
          <w:color w:val="676CF9"/>
          <w:sz w:val="16"/>
          <w:szCs w:val="16"/>
        </w:rPr>
        <w:t>Tuzzio</w:t>
      </w:r>
      <w:proofErr w:type="spellEnd"/>
      <w:r w:rsidRPr="00896935">
        <w:rPr>
          <w:rFonts w:ascii="Fira Sans" w:hAnsi="Fira Sans"/>
          <w:color w:val="676CF9"/>
          <w:sz w:val="16"/>
          <w:szCs w:val="16"/>
        </w:rPr>
        <w:t xml:space="preserve">, L., Loggers, E. T., Miyoshi, J., &amp; </w:t>
      </w:r>
      <w:proofErr w:type="spellStart"/>
      <w:r w:rsidRPr="00896935">
        <w:rPr>
          <w:rFonts w:ascii="Fira Sans" w:hAnsi="Fira Sans"/>
          <w:color w:val="676CF9"/>
          <w:sz w:val="16"/>
          <w:szCs w:val="16"/>
        </w:rPr>
        <w:t>Buist</w:t>
      </w:r>
      <w:proofErr w:type="spellEnd"/>
      <w:r w:rsidRPr="00896935">
        <w:rPr>
          <w:rFonts w:ascii="Fira Sans" w:hAnsi="Fira Sans"/>
          <w:color w:val="676CF9"/>
          <w:sz w:val="16"/>
          <w:szCs w:val="16"/>
        </w:rPr>
        <w:t xml:space="preserve">, D. S. (2014, April). Retrieved March 02, 2018, from </w:t>
      </w:r>
      <w:hyperlink r:id="rId1" w:history="1">
        <w:r w:rsidRPr="00896935">
          <w:rPr>
            <w:rStyle w:val="Hyperlink"/>
            <w:rFonts w:ascii="Fira Sans" w:hAnsi="Fira Sans"/>
            <w:color w:val="676CF9"/>
            <w:sz w:val="16"/>
            <w:szCs w:val="16"/>
          </w:rPr>
          <w:t>https://www.ncbi.nlm.nih.gov/pmc/articles/PMC3943697/</w:t>
        </w:r>
      </w:hyperlink>
    </w:p>
  </w:footnote>
  <w:footnote w:id="3">
    <w:p w14:paraId="19A57C8A" w14:textId="5CDA3CC6" w:rsidR="00896935" w:rsidRPr="00896935" w:rsidRDefault="00896935">
      <w:pPr>
        <w:pStyle w:val="FootnoteText"/>
        <w:rPr>
          <w:rFonts w:ascii="Fira Sans" w:hAnsi="Fira Sans"/>
          <w:color w:val="676CF9"/>
          <w:sz w:val="16"/>
          <w:szCs w:val="16"/>
        </w:rPr>
      </w:pPr>
      <w:r w:rsidRPr="00896935">
        <w:rPr>
          <w:rStyle w:val="FootnoteReference"/>
          <w:color w:val="676CF9"/>
        </w:rPr>
        <w:footnoteRef/>
      </w:r>
      <w:r w:rsidRPr="00896935">
        <w:rPr>
          <w:color w:val="676CF9"/>
        </w:rPr>
        <w:t xml:space="preserve"> </w:t>
      </w:r>
      <w:r w:rsidRPr="00896935">
        <w:rPr>
          <w:rFonts w:ascii="Fira Sans" w:hAnsi="Fira Sans"/>
          <w:color w:val="676CF9"/>
          <w:sz w:val="16"/>
          <w:szCs w:val="16"/>
        </w:rPr>
        <w:t>High Out-of-Pocket Costs May Place Oral Cancer Medications Out of</w:t>
      </w:r>
      <w:r>
        <w:rPr>
          <w:rFonts w:ascii="Fira Sans" w:hAnsi="Fira Sans"/>
          <w:color w:val="676CF9"/>
          <w:sz w:val="16"/>
          <w:szCs w:val="16"/>
        </w:rPr>
        <w:t xml:space="preserve"> Reach – </w:t>
      </w:r>
      <w:r w:rsidRPr="00896935">
        <w:rPr>
          <w:rFonts w:ascii="Fira Sans" w:hAnsi="Fira Sans"/>
          <w:color w:val="676CF9"/>
          <w:sz w:val="16"/>
          <w:szCs w:val="16"/>
        </w:rPr>
        <w:t>PR News. (</w:t>
      </w:r>
      <w:proofErr w:type="spellStart"/>
      <w:r w:rsidRPr="00896935">
        <w:rPr>
          <w:rFonts w:ascii="Fira Sans" w:hAnsi="Fira Sans"/>
          <w:color w:val="676CF9"/>
          <w:sz w:val="16"/>
          <w:szCs w:val="16"/>
        </w:rPr>
        <w:t>n.d.</w:t>
      </w:r>
      <w:proofErr w:type="spellEnd"/>
      <w:r w:rsidRPr="00896935">
        <w:rPr>
          <w:rFonts w:ascii="Fira Sans" w:hAnsi="Fira Sans"/>
          <w:color w:val="676CF9"/>
          <w:sz w:val="16"/>
          <w:szCs w:val="16"/>
        </w:rPr>
        <w:t>). Retrieved March 02, 2018, from https://www.pennmedicine.org/news/news-releases/2017/december/high-costs-may-place-oral-cancer-medications-out-of-reach</w:t>
      </w:r>
    </w:p>
  </w:footnote>
  <w:footnote w:id="4">
    <w:p w14:paraId="4610E190" w14:textId="1905A710" w:rsidR="00896935" w:rsidRPr="00896935" w:rsidRDefault="00896935">
      <w:pPr>
        <w:pStyle w:val="FootnoteText"/>
        <w:rPr>
          <w:rFonts w:ascii="Fira Sans" w:hAnsi="Fira Sans"/>
          <w:color w:val="676CF9"/>
          <w:sz w:val="16"/>
          <w:szCs w:val="16"/>
        </w:rPr>
      </w:pPr>
      <w:r>
        <w:rPr>
          <w:rStyle w:val="FootnoteReference"/>
        </w:rPr>
        <w:footnoteRef/>
      </w:r>
      <w:r>
        <w:t xml:space="preserve"> </w:t>
      </w:r>
      <w:r>
        <w:rPr>
          <w:rFonts w:ascii="Fira Sans" w:hAnsi="Fira Sans"/>
          <w:color w:val="676CF9"/>
          <w:sz w:val="16"/>
          <w:szCs w:val="16"/>
          <w:vertAlign w:val="superscript"/>
        </w:rPr>
        <w:t>4</w:t>
      </w:r>
      <w:r w:rsidRPr="005504A1">
        <w:rPr>
          <w:rFonts w:ascii="Fira Sans" w:hAnsi="Fira Sans"/>
          <w:color w:val="676CF9"/>
          <w:sz w:val="16"/>
          <w:szCs w:val="16"/>
        </w:rPr>
        <w:t xml:space="preserve">Streeter, S. B., Schwartzberg, L., Husain, N., &amp; </w:t>
      </w:r>
      <w:proofErr w:type="spellStart"/>
      <w:r w:rsidRPr="005504A1">
        <w:rPr>
          <w:rFonts w:ascii="Fira Sans" w:hAnsi="Fira Sans"/>
          <w:color w:val="676CF9"/>
          <w:sz w:val="16"/>
          <w:szCs w:val="16"/>
        </w:rPr>
        <w:t>Johnsrud</w:t>
      </w:r>
      <w:proofErr w:type="spellEnd"/>
      <w:r w:rsidRPr="005504A1">
        <w:rPr>
          <w:rFonts w:ascii="Fira Sans" w:hAnsi="Fira Sans"/>
          <w:color w:val="676CF9"/>
          <w:sz w:val="16"/>
          <w:szCs w:val="16"/>
        </w:rPr>
        <w:t>, M. (2011). Patient and Plan Characteristics Affecting Abandonment of Oral Oncolytic Prescriptions. Journal of Oncology Practice, 7(3S). doi:10.1200/jop.2011.000316</w:t>
      </w:r>
    </w:p>
  </w:footnote>
  <w:footnote w:id="5">
    <w:p w14:paraId="52B129A7" w14:textId="5B7E4C5C" w:rsidR="00896935" w:rsidRDefault="00896935">
      <w:pPr>
        <w:pStyle w:val="FootnoteText"/>
      </w:pPr>
      <w:r w:rsidRPr="00896935">
        <w:rPr>
          <w:rStyle w:val="FootnoteReference"/>
          <w:color w:val="676CF9"/>
        </w:rPr>
        <w:footnoteRef/>
      </w:r>
      <w:r w:rsidRPr="00896935">
        <w:rPr>
          <w:color w:val="676CF9"/>
        </w:rPr>
        <w:t xml:space="preserve"> </w:t>
      </w:r>
      <w:proofErr w:type="spellStart"/>
      <w:r w:rsidRPr="00896935">
        <w:rPr>
          <w:rFonts w:ascii="Fira Sans" w:hAnsi="Fira Sans"/>
          <w:color w:val="676CF9"/>
          <w:sz w:val="16"/>
          <w:szCs w:val="16"/>
        </w:rPr>
        <w:t>Dusetzina</w:t>
      </w:r>
      <w:proofErr w:type="spellEnd"/>
      <w:r w:rsidRPr="00896935">
        <w:rPr>
          <w:rFonts w:ascii="Fira Sans" w:hAnsi="Fira Sans"/>
          <w:color w:val="676CF9"/>
          <w:sz w:val="16"/>
          <w:szCs w:val="16"/>
        </w:rPr>
        <w:t>, S. B., PhD. (2017, November 09). Spending Changes for Oral Anticancer Therapy After State Parity Laws. Retrieved March 02</w:t>
      </w:r>
      <w:r w:rsidRPr="00303580">
        <w:rPr>
          <w:rFonts w:ascii="Fira Sans" w:hAnsi="Fira Sans"/>
          <w:color w:val="676CF9"/>
          <w:sz w:val="16"/>
          <w:szCs w:val="16"/>
        </w:rPr>
        <w:t>, 2018, from https://jamanetwork.com/journals/jamaoncology/article-abstract/2661763?resultClick=1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7F31" w14:textId="3EF4BD2E" w:rsidR="00EE373F" w:rsidRDefault="00F5281F">
    <w:pPr>
      <w:pStyle w:val="Header"/>
    </w:pPr>
    <w:r>
      <w:rPr>
        <w:noProof/>
      </w:rPr>
      <w:pict w14:anchorId="4E0A6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3" type="#_x0000_t75" style="position:absolute;margin-left:0;margin-top:0;width:637.5pt;height:825pt;z-index:-251657216;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3C693" w14:textId="5C62E92C" w:rsidR="00EE373F" w:rsidRDefault="00F5281F">
    <w:pPr>
      <w:pStyle w:val="Header"/>
    </w:pPr>
    <w:r>
      <w:rPr>
        <w:noProof/>
      </w:rPr>
      <w:pict w14:anchorId="59983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2" type="#_x0000_t75" style="position:absolute;margin-left:0;margin-top:0;width:637.5pt;height:825pt;z-index:-251658240;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031C7" w14:textId="012A92C7" w:rsidR="00EE373F" w:rsidRDefault="00F5281F">
    <w:pPr>
      <w:pStyle w:val="Header"/>
    </w:pPr>
    <w:r>
      <w:rPr>
        <w:noProof/>
      </w:rPr>
      <w:pict w14:anchorId="594D8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4" type="#_x0000_t75" style="position:absolute;margin-left:0;margin-top:0;width:637.5pt;height:825pt;z-index:-251656192;mso-wrap-edited:f;mso-position-horizontal:center;mso-position-horizontal-relative:margin;mso-position-vertical:center;mso-position-vertical-relative:margin" wrapcoords="-25 0 -25 21580 21600 21580 21600 0 -25 0">
          <v:imagedata r:id="rId1" o:title="CIACC_Word_Footer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25CB"/>
    <w:multiLevelType w:val="hybridMultilevel"/>
    <w:tmpl w:val="3644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E1B9E"/>
    <w:multiLevelType w:val="hybridMultilevel"/>
    <w:tmpl w:val="85601ED8"/>
    <w:lvl w:ilvl="0" w:tplc="5A7811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3442E"/>
    <w:multiLevelType w:val="hybridMultilevel"/>
    <w:tmpl w:val="DA14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E703F9"/>
    <w:multiLevelType w:val="hybridMultilevel"/>
    <w:tmpl w:val="1D98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8E"/>
    <w:rsid w:val="00041CB9"/>
    <w:rsid w:val="00062F7B"/>
    <w:rsid w:val="00097B24"/>
    <w:rsid w:val="000E6B4D"/>
    <w:rsid w:val="000E7327"/>
    <w:rsid w:val="000F7BE1"/>
    <w:rsid w:val="00111A0D"/>
    <w:rsid w:val="00124A2D"/>
    <w:rsid w:val="001273CD"/>
    <w:rsid w:val="00163BB0"/>
    <w:rsid w:val="001B7CEB"/>
    <w:rsid w:val="001E5928"/>
    <w:rsid w:val="001F024F"/>
    <w:rsid w:val="00205040"/>
    <w:rsid w:val="00226C75"/>
    <w:rsid w:val="00241225"/>
    <w:rsid w:val="00261C0D"/>
    <w:rsid w:val="00294C87"/>
    <w:rsid w:val="002F5B1C"/>
    <w:rsid w:val="003523BA"/>
    <w:rsid w:val="00353777"/>
    <w:rsid w:val="003543BE"/>
    <w:rsid w:val="003557CE"/>
    <w:rsid w:val="00384510"/>
    <w:rsid w:val="003B2DE2"/>
    <w:rsid w:val="0044274C"/>
    <w:rsid w:val="004664C8"/>
    <w:rsid w:val="004A52E5"/>
    <w:rsid w:val="004A7B68"/>
    <w:rsid w:val="004B3855"/>
    <w:rsid w:val="004E124C"/>
    <w:rsid w:val="004E434A"/>
    <w:rsid w:val="005504A1"/>
    <w:rsid w:val="005743A2"/>
    <w:rsid w:val="005A32B6"/>
    <w:rsid w:val="005C0983"/>
    <w:rsid w:val="005C3FB6"/>
    <w:rsid w:val="005E55FF"/>
    <w:rsid w:val="00624564"/>
    <w:rsid w:val="0063334A"/>
    <w:rsid w:val="00636744"/>
    <w:rsid w:val="00637829"/>
    <w:rsid w:val="00697CF3"/>
    <w:rsid w:val="006A0C10"/>
    <w:rsid w:val="006A4041"/>
    <w:rsid w:val="006D524C"/>
    <w:rsid w:val="006E43FA"/>
    <w:rsid w:val="0072319B"/>
    <w:rsid w:val="007340CD"/>
    <w:rsid w:val="007A455F"/>
    <w:rsid w:val="007A6597"/>
    <w:rsid w:val="007D07B9"/>
    <w:rsid w:val="007E3CC0"/>
    <w:rsid w:val="00816B91"/>
    <w:rsid w:val="0086691D"/>
    <w:rsid w:val="00881784"/>
    <w:rsid w:val="00896935"/>
    <w:rsid w:val="008A5AAB"/>
    <w:rsid w:val="0090363C"/>
    <w:rsid w:val="0090398E"/>
    <w:rsid w:val="00942830"/>
    <w:rsid w:val="00956F87"/>
    <w:rsid w:val="009742BF"/>
    <w:rsid w:val="009C4566"/>
    <w:rsid w:val="009E27D1"/>
    <w:rsid w:val="00A2021A"/>
    <w:rsid w:val="00A256A8"/>
    <w:rsid w:val="00A310D5"/>
    <w:rsid w:val="00A32CEA"/>
    <w:rsid w:val="00A602AB"/>
    <w:rsid w:val="00A834D8"/>
    <w:rsid w:val="00AB37CB"/>
    <w:rsid w:val="00AB7FAF"/>
    <w:rsid w:val="00AD4E6B"/>
    <w:rsid w:val="00AD5D39"/>
    <w:rsid w:val="00AF5C3E"/>
    <w:rsid w:val="00B73821"/>
    <w:rsid w:val="00BA009C"/>
    <w:rsid w:val="00BA6F1A"/>
    <w:rsid w:val="00BB50BF"/>
    <w:rsid w:val="00BC1C1E"/>
    <w:rsid w:val="00C534E6"/>
    <w:rsid w:val="00C72748"/>
    <w:rsid w:val="00C8066D"/>
    <w:rsid w:val="00C81845"/>
    <w:rsid w:val="00CA27F3"/>
    <w:rsid w:val="00CA366B"/>
    <w:rsid w:val="00CD3E2E"/>
    <w:rsid w:val="00D06FE9"/>
    <w:rsid w:val="00D10BFC"/>
    <w:rsid w:val="00D26B18"/>
    <w:rsid w:val="00D315E3"/>
    <w:rsid w:val="00D3447E"/>
    <w:rsid w:val="00D41056"/>
    <w:rsid w:val="00D65187"/>
    <w:rsid w:val="00DD76F5"/>
    <w:rsid w:val="00E167FE"/>
    <w:rsid w:val="00E236C1"/>
    <w:rsid w:val="00E3739E"/>
    <w:rsid w:val="00E74744"/>
    <w:rsid w:val="00EA7220"/>
    <w:rsid w:val="00EB511E"/>
    <w:rsid w:val="00EE373F"/>
    <w:rsid w:val="00EE4D9D"/>
    <w:rsid w:val="00EE63CE"/>
    <w:rsid w:val="00F5281F"/>
    <w:rsid w:val="00F77E49"/>
    <w:rsid w:val="00F92C14"/>
    <w:rsid w:val="00FA364B"/>
    <w:rsid w:val="00FA6E0A"/>
    <w:rsid w:val="00FC1EE5"/>
    <w:rsid w:val="00FD3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4:docId w14:val="6DDA7C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73821"/>
    <w:rPr>
      <w:sz w:val="20"/>
      <w:szCs w:val="20"/>
    </w:rPr>
  </w:style>
  <w:style w:type="character" w:customStyle="1" w:styleId="FootnoteTextChar">
    <w:name w:val="Footnote Text Char"/>
    <w:basedOn w:val="DefaultParagraphFont"/>
    <w:link w:val="FootnoteText"/>
    <w:uiPriority w:val="99"/>
    <w:semiHidden/>
    <w:rsid w:val="00B73821"/>
    <w:rPr>
      <w:sz w:val="20"/>
      <w:szCs w:val="20"/>
    </w:rPr>
  </w:style>
  <w:style w:type="character" w:styleId="FootnoteReference">
    <w:name w:val="footnote reference"/>
    <w:basedOn w:val="DefaultParagraphFont"/>
    <w:uiPriority w:val="99"/>
    <w:semiHidden/>
    <w:unhideWhenUsed/>
    <w:rsid w:val="00B73821"/>
    <w:rPr>
      <w:vertAlign w:val="superscript"/>
    </w:rPr>
  </w:style>
  <w:style w:type="character" w:styleId="CommentReference">
    <w:name w:val="annotation reference"/>
    <w:basedOn w:val="DefaultParagraphFont"/>
    <w:uiPriority w:val="99"/>
    <w:semiHidden/>
    <w:unhideWhenUsed/>
    <w:rsid w:val="00EE4D9D"/>
    <w:rPr>
      <w:sz w:val="16"/>
      <w:szCs w:val="16"/>
    </w:rPr>
  </w:style>
  <w:style w:type="paragraph" w:styleId="CommentText">
    <w:name w:val="annotation text"/>
    <w:basedOn w:val="Normal"/>
    <w:link w:val="CommentTextChar"/>
    <w:uiPriority w:val="99"/>
    <w:semiHidden/>
    <w:unhideWhenUsed/>
    <w:rsid w:val="00EE4D9D"/>
    <w:rPr>
      <w:sz w:val="20"/>
      <w:szCs w:val="20"/>
    </w:rPr>
  </w:style>
  <w:style w:type="character" w:customStyle="1" w:styleId="CommentTextChar">
    <w:name w:val="Comment Text Char"/>
    <w:basedOn w:val="DefaultParagraphFont"/>
    <w:link w:val="CommentText"/>
    <w:uiPriority w:val="99"/>
    <w:semiHidden/>
    <w:rsid w:val="00EE4D9D"/>
    <w:rPr>
      <w:sz w:val="20"/>
      <w:szCs w:val="20"/>
    </w:rPr>
  </w:style>
  <w:style w:type="paragraph" w:styleId="CommentSubject">
    <w:name w:val="annotation subject"/>
    <w:basedOn w:val="CommentText"/>
    <w:next w:val="CommentText"/>
    <w:link w:val="CommentSubjectChar"/>
    <w:uiPriority w:val="99"/>
    <w:semiHidden/>
    <w:unhideWhenUsed/>
    <w:rsid w:val="00EE4D9D"/>
    <w:rPr>
      <w:b/>
      <w:bCs/>
    </w:rPr>
  </w:style>
  <w:style w:type="character" w:customStyle="1" w:styleId="CommentSubjectChar">
    <w:name w:val="Comment Subject Char"/>
    <w:basedOn w:val="CommentTextChar"/>
    <w:link w:val="CommentSubject"/>
    <w:uiPriority w:val="99"/>
    <w:semiHidden/>
    <w:rsid w:val="00EE4D9D"/>
    <w:rPr>
      <w:b/>
      <w:bCs/>
      <w:sz w:val="20"/>
      <w:szCs w:val="20"/>
    </w:rPr>
  </w:style>
  <w:style w:type="paragraph" w:styleId="BalloonText">
    <w:name w:val="Balloon Text"/>
    <w:basedOn w:val="Normal"/>
    <w:link w:val="BalloonTextChar"/>
    <w:uiPriority w:val="99"/>
    <w:semiHidden/>
    <w:unhideWhenUsed/>
    <w:rsid w:val="00EE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9D"/>
    <w:rPr>
      <w:rFonts w:ascii="Segoe UI" w:hAnsi="Segoe UI" w:cs="Segoe UI"/>
      <w:sz w:val="18"/>
      <w:szCs w:val="18"/>
    </w:rPr>
  </w:style>
  <w:style w:type="character" w:styleId="Hyperlink">
    <w:name w:val="Hyperlink"/>
    <w:basedOn w:val="DefaultParagraphFont"/>
    <w:uiPriority w:val="99"/>
    <w:unhideWhenUsed/>
    <w:rsid w:val="00EE4D9D"/>
    <w:rPr>
      <w:color w:val="0563C1" w:themeColor="hyperlink"/>
      <w:u w:val="single"/>
    </w:rPr>
  </w:style>
  <w:style w:type="character" w:customStyle="1" w:styleId="UnresolvedMention1">
    <w:name w:val="Unresolved Mention1"/>
    <w:basedOn w:val="DefaultParagraphFont"/>
    <w:uiPriority w:val="99"/>
    <w:rsid w:val="00FA6E0A"/>
    <w:rPr>
      <w:color w:val="808080"/>
      <w:shd w:val="clear" w:color="auto" w:fill="E6E6E6"/>
    </w:rPr>
  </w:style>
  <w:style w:type="character" w:styleId="FollowedHyperlink">
    <w:name w:val="FollowedHyperlink"/>
    <w:basedOn w:val="DefaultParagraphFont"/>
    <w:uiPriority w:val="99"/>
    <w:semiHidden/>
    <w:unhideWhenUsed/>
    <w:rsid w:val="00DD76F5"/>
    <w:rPr>
      <w:color w:val="954F72" w:themeColor="followedHyperlink"/>
      <w:u w:val="single"/>
    </w:rPr>
  </w:style>
  <w:style w:type="paragraph" w:styleId="Header">
    <w:name w:val="header"/>
    <w:basedOn w:val="Normal"/>
    <w:link w:val="HeaderChar"/>
    <w:uiPriority w:val="99"/>
    <w:unhideWhenUsed/>
    <w:rsid w:val="0072319B"/>
    <w:pPr>
      <w:tabs>
        <w:tab w:val="center" w:pos="4680"/>
        <w:tab w:val="right" w:pos="9360"/>
      </w:tabs>
    </w:pPr>
  </w:style>
  <w:style w:type="character" w:customStyle="1" w:styleId="HeaderChar">
    <w:name w:val="Header Char"/>
    <w:basedOn w:val="DefaultParagraphFont"/>
    <w:link w:val="Header"/>
    <w:uiPriority w:val="99"/>
    <w:rsid w:val="0072319B"/>
  </w:style>
  <w:style w:type="paragraph" w:styleId="Footer">
    <w:name w:val="footer"/>
    <w:basedOn w:val="Normal"/>
    <w:link w:val="FooterChar"/>
    <w:uiPriority w:val="99"/>
    <w:unhideWhenUsed/>
    <w:rsid w:val="0072319B"/>
    <w:pPr>
      <w:tabs>
        <w:tab w:val="center" w:pos="4680"/>
        <w:tab w:val="right" w:pos="9360"/>
      </w:tabs>
    </w:pPr>
  </w:style>
  <w:style w:type="character" w:customStyle="1" w:styleId="FooterChar">
    <w:name w:val="Footer Char"/>
    <w:basedOn w:val="DefaultParagraphFont"/>
    <w:link w:val="Footer"/>
    <w:uiPriority w:val="99"/>
    <w:rsid w:val="0072319B"/>
  </w:style>
  <w:style w:type="character" w:styleId="UnresolvedMention">
    <w:name w:val="Unresolved Mention"/>
    <w:basedOn w:val="DefaultParagraphFont"/>
    <w:uiPriority w:val="99"/>
    <w:rsid w:val="009742BF"/>
    <w:rPr>
      <w:color w:val="808080"/>
      <w:shd w:val="clear" w:color="auto" w:fill="E6E6E6"/>
    </w:rPr>
  </w:style>
  <w:style w:type="paragraph" w:styleId="ListParagraph">
    <w:name w:val="List Paragraph"/>
    <w:basedOn w:val="Normal"/>
    <w:uiPriority w:val="34"/>
    <w:qFormat/>
    <w:rsid w:val="00866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amanetwork.com/journals/jamaoncology/article-abstract/2661763?resultClick=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mc/articles/PMC39436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914CDC952E642BE9CA98C7B2CE076" ma:contentTypeVersion="7" ma:contentTypeDescription="Create a new document." ma:contentTypeScope="" ma:versionID="66fdf51cdca676b110696fbd2291ac86">
  <xsd:schema xmlns:xsd="http://www.w3.org/2001/XMLSchema" xmlns:xs="http://www.w3.org/2001/XMLSchema" xmlns:p="http://schemas.microsoft.com/office/2006/metadata/properties" xmlns:ns2="34de2ab4-8b2f-43c7-9710-68c0e8458f7b" xmlns:ns3="f84c5157-11d0-4212-a296-9497b18280be" targetNamespace="http://schemas.microsoft.com/office/2006/metadata/properties" ma:root="true" ma:fieldsID="92917615904104e5cba64958c25b5049" ns2:_="" ns3:_="">
    <xsd:import namespace="34de2ab4-8b2f-43c7-9710-68c0e8458f7b"/>
    <xsd:import namespace="f84c5157-11d0-4212-a296-9497b18280be"/>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e2ab4-8b2f-43c7-9710-68c0e8458f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c5157-11d0-4212-a296-9497b18280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19D80-075F-4C39-847B-57D39E246B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C4A7C6-C250-485C-A440-629B4F19D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e2ab4-8b2f-43c7-9710-68c0e8458f7b"/>
    <ds:schemaRef ds:uri="f84c5157-11d0-4212-a296-9497b1828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DCE494-F835-49C5-AB19-B55BD3BB431C}">
  <ds:schemaRefs>
    <ds:schemaRef ds:uri="http://schemas.microsoft.com/sharepoint/v3/contenttype/forms"/>
  </ds:schemaRefs>
</ds:datastoreItem>
</file>

<file path=customXml/itemProps4.xml><?xml version="1.0" encoding="utf-8"?>
<ds:datastoreItem xmlns:ds="http://schemas.openxmlformats.org/officeDocument/2006/customXml" ds:itemID="{71CF4BF5-5DD0-4BA0-A3F2-B6B2F45C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O'Connor</dc:creator>
  <cp:keywords/>
  <dc:description/>
  <cp:lastModifiedBy>Katie Mitchell</cp:lastModifiedBy>
  <cp:revision>16</cp:revision>
  <cp:lastPrinted>2018-03-02T21:43:00Z</cp:lastPrinted>
  <dcterms:created xsi:type="dcterms:W3CDTF">2018-02-26T03:13:00Z</dcterms:created>
  <dcterms:modified xsi:type="dcterms:W3CDTF">2018-03-02T21:43:00Z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0x010100442914CDC952E642BE9CA98C7B2CE076</vt:lpwstr>
  </property>
</Properties>
</file>